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Communiqué de presse</w:t>
      </w:r>
    </w:p>
    <w:p w:rsidR="00000000" w:rsidDel="00000000" w:rsidP="00000000" w:rsidRDefault="00000000" w:rsidRPr="00000000" w14:paraId="00000002">
      <w:pPr>
        <w:jc w:val="center"/>
        <w:rPr/>
      </w:pPr>
      <w:bookmarkStart w:colFirst="0" w:colLast="0" w:name="_heading=h.gjdgxs" w:id="0"/>
      <w:bookmarkEnd w:id="0"/>
      <w:r w:rsidDel="00000000" w:rsidR="00000000" w:rsidRPr="00000000">
        <w:rPr>
          <w:rtl w:val="0"/>
        </w:rPr>
        <w:t xml:space="preserve">Paris, le 21 octobre 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OpenClassrooms lance avec Insign sa première campagne pour promouvoir une alternance sans les galères</w:t>
      </w:r>
    </w:p>
    <w:p w:rsidR="00000000" w:rsidDel="00000000" w:rsidP="00000000" w:rsidRDefault="00000000" w:rsidRPr="00000000" w14:paraId="00000006">
      <w:pPr>
        <w:spacing w:line="240" w:lineRule="auto"/>
        <w:jc w:val="center"/>
        <w:rPr>
          <w:i w:val="1"/>
        </w:rPr>
      </w:pPr>
      <w:r w:rsidDel="00000000" w:rsidR="00000000" w:rsidRPr="00000000">
        <w:rPr>
          <w:rtl w:val="0"/>
        </w:rPr>
      </w:r>
    </w:p>
    <w:p w:rsidR="00000000" w:rsidDel="00000000" w:rsidP="00000000" w:rsidRDefault="00000000" w:rsidRPr="00000000" w14:paraId="00000007">
      <w:pPr>
        <w:spacing w:line="240" w:lineRule="auto"/>
        <w:jc w:val="center"/>
        <w:rPr>
          <w:i w:val="1"/>
          <w:sz w:val="21"/>
          <w:szCs w:val="21"/>
        </w:rPr>
      </w:pPr>
      <w:r w:rsidDel="00000000" w:rsidR="00000000" w:rsidRPr="00000000">
        <w:rPr>
          <w:i w:val="1"/>
          <w:rtl w:val="0"/>
        </w:rPr>
        <w:t xml:space="preserve">Alors qu’une majorité d’étudiants plébiscite l’apprentissage, le parcours pour trouver une entreprise demeure complexe et semé d’embûches, OpenClassrooms réinvente l’alternance pour y répondre. </w:t>
      </w:r>
      <w:r w:rsidDel="00000000" w:rsidR="00000000" w:rsidRPr="00000000">
        <w:rPr>
          <w:rtl w:val="0"/>
        </w:rPr>
      </w:r>
    </w:p>
    <w:p w:rsidR="00000000" w:rsidDel="00000000" w:rsidP="00000000" w:rsidRDefault="00000000" w:rsidRPr="00000000" w14:paraId="00000008">
      <w:pPr>
        <w:tabs>
          <w:tab w:val="left" w:pos="2706"/>
        </w:tabs>
        <w:spacing w:line="240" w:lineRule="auto"/>
        <w:rPr>
          <w:i w:val="1"/>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L’école 100% en ligne, OpenClassrooms, forte de ses 300 000 utilisateurs inscrits en moyenne par mois, et offrant des parcours de formation à plus de 10 000 étudiants, lance une campagne publicitaire auprès des jeunes pour promouvoir l’alternance en ligne et sans galère.</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Alors que la rentrée est parfois synonyme de stress et de galères pour de nombreux étudiants, OpenClassrooms propose plus de 35 parcours dédiés à l’alternance, gratuits et rémunérés, vers des diplômes reconnus </w:t>
      </w:r>
      <w:r w:rsidDel="00000000" w:rsidR="00000000" w:rsidRPr="00000000">
        <w:rPr>
          <w:rtl w:val="0"/>
        </w:rPr>
        <w:t xml:space="preserve">par</w:t>
      </w:r>
      <w:r w:rsidDel="00000000" w:rsidR="00000000" w:rsidRPr="00000000">
        <w:rPr>
          <w:rtl w:val="0"/>
        </w:rPr>
        <w:t xml:space="preserve"> l'État (jusqu'à Bac +5). Une démarche « à la carte » qui s’adapte au besoin de flexibilité des étudiants et leur permet de commencer leur alternance à tout moment. </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Après une campagne en plein cœur de l’été, à contre-courant total des prises de paroles du secteur, shootée et réalisée par Kimdary, talent émergent de la nouvelle scène photographique française, OpenClassrooms récidive avec une campagne de rentrée qui commence mercredi 20 octobre au cinéma en format long (1’).</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Dans ce format rare, de long film publicitaire en cinéma - décliné en formats courts pour le web et le replay - OpenClassrooms affirme une identité résolument complice et empathique à l’égard des jeunes en alternance, en offrant une vision décomplexée et décomplexante de son premier jour en entreprise sans les galères de l'alternance que les jeunes connaissent trop souvent. </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Dans ce spot conçu par l’agence Insign, réalisé par Nicolas Galoux sur un morceau </w:t>
      </w:r>
      <w:r w:rsidDel="00000000" w:rsidR="00000000" w:rsidRPr="00000000">
        <w:rPr>
          <w:i w:val="1"/>
          <w:rtl w:val="0"/>
        </w:rPr>
        <w:t xml:space="preserve">Attitude</w:t>
      </w:r>
      <w:r w:rsidDel="00000000" w:rsidR="00000000" w:rsidRPr="00000000">
        <w:rPr>
          <w:rtl w:val="0"/>
        </w:rPr>
        <w:t xml:space="preserve"> de Lewis OfMan, l’alternance retrouve son attrait pour les jeunes et OpenClassrooms une manière de la proposer simple et accessible. </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b w:val="1"/>
          <w:color w:val="ff0000"/>
        </w:rPr>
      </w:pPr>
      <w:r w:rsidDel="00000000" w:rsidR="00000000" w:rsidRPr="00000000">
        <w:rPr>
          <w:rtl w:val="0"/>
        </w:rPr>
        <w:t xml:space="preserve">Lien vidéo : </w:t>
      </w:r>
      <w:hyperlink r:id="rId7">
        <w:r w:rsidDel="00000000" w:rsidR="00000000" w:rsidRPr="00000000">
          <w:rPr>
            <w:b w:val="1"/>
            <w:color w:val="1155cc"/>
            <w:u w:val="single"/>
            <w:rtl w:val="0"/>
          </w:rPr>
          <w:t xml:space="preserve">https://youtu.be/HQLC09GnF9Y</w:t>
        </w:r>
      </w:hyperlink>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Ce</w:t>
      </w:r>
      <w:r w:rsidDel="00000000" w:rsidR="00000000" w:rsidRPr="00000000">
        <w:rPr>
          <w:rtl w:val="0"/>
        </w:rPr>
        <w:t xml:space="preserve"> spot de 60 secondes sera diffusé dans les salles de cinéma dans les réseaux UGC et CGR durant 14 jours. Des capsules seront également adaptées pour les formats réseaux sociaux, notamment sur Snapchat et Twitch. Enfin cette troisième vague vidéo, déclinée également sous forme de spot replay TV, sera diffusée sur MyTF1, 6play et NRJ Play et en affichage dans les gares.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Pour son programme dédié à l’alternance, OpenClassrooms s’adresse à des étudiants éreintés par plusieurs mois de crise sanitaire - près d’un jeune sur deux ayant envisagé d’arrêter ses études depuis le début de la crise du COVID-19. Une réalité dont sont pleinement </w:t>
      </w:r>
      <w:r w:rsidDel="00000000" w:rsidR="00000000" w:rsidRPr="00000000">
        <w:rPr>
          <w:rtl w:val="0"/>
        </w:rPr>
        <w:t xml:space="preserve">conscients</w:t>
      </w:r>
      <w:r w:rsidDel="00000000" w:rsidR="00000000" w:rsidRPr="00000000">
        <w:rPr>
          <w:rtl w:val="0"/>
        </w:rPr>
        <w:t xml:space="preserve"> les fondateurs, qui ont mis au point une approche basée sur la pédagogie de la maîtrise, des projets de mise en application et un mentorat individualisé. La plateforme donne accès à des métiers d’avenir, notamment dans les domaines du digital, de l’analyse des données et du design. Grâce au coaching hebdomadaire dédié et aux solutions d’aide à la recherche d'entreprises, OpenClassrooms lève le principal frein à l’alternance : la recherche d’une entreprise. </w:t>
      </w:r>
    </w:p>
    <w:p w:rsidR="00000000" w:rsidDel="00000000" w:rsidP="00000000" w:rsidRDefault="00000000" w:rsidRPr="00000000" w14:paraId="00000019">
      <w:pPr>
        <w:spacing w:line="240" w:lineRule="auto"/>
        <w:rPr/>
      </w:pPr>
      <w:r w:rsidDel="00000000" w:rsidR="00000000" w:rsidRPr="00000000">
        <w:rPr>
          <w:rtl w:val="0"/>
        </w:rPr>
        <w:t xml:space="preserve">Le plus du programme ? Des parcours mis en place avec un réseau d’entreprises partenaires, parmi lesquelles Capgemini, Accor, Enedis ou encore AXA.</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jc w:val="left"/>
        <w:rPr>
          <w:i w:val="1"/>
          <w:highlight w:val="white"/>
        </w:rPr>
      </w:pPr>
      <w:r w:rsidDel="00000000" w:rsidR="00000000" w:rsidRPr="00000000">
        <w:rPr>
          <w:rtl w:val="0"/>
        </w:rPr>
      </w:r>
    </w:p>
    <w:p w:rsidR="00000000" w:rsidDel="00000000" w:rsidP="00000000" w:rsidRDefault="00000000" w:rsidRPr="00000000" w14:paraId="0000001C">
      <w:pPr>
        <w:spacing w:line="240" w:lineRule="auto"/>
        <w:ind w:left="-567" w:right="-567" w:firstLine="567"/>
        <w:rPr>
          <w:b w:val="1"/>
          <w:sz w:val="18"/>
          <w:szCs w:val="18"/>
        </w:rPr>
      </w:pPr>
      <w:r w:rsidDel="00000000" w:rsidR="00000000" w:rsidRPr="00000000">
        <w:rPr>
          <w:b w:val="1"/>
          <w:sz w:val="18"/>
          <w:szCs w:val="18"/>
          <w:rtl w:val="0"/>
        </w:rPr>
        <w:t xml:space="preserve">À propos d’OpenClassrooms</w:t>
      </w:r>
    </w:p>
    <w:p w:rsidR="00000000" w:rsidDel="00000000" w:rsidP="00000000" w:rsidRDefault="00000000" w:rsidRPr="00000000" w14:paraId="0000001D">
      <w:pPr>
        <w:spacing w:line="240" w:lineRule="auto"/>
        <w:rPr>
          <w:sz w:val="18"/>
          <w:szCs w:val="18"/>
        </w:rPr>
      </w:pPr>
      <w:r w:rsidDel="00000000" w:rsidR="00000000" w:rsidRPr="00000000">
        <w:rPr>
          <w:sz w:val="18"/>
          <w:szCs w:val="18"/>
          <w:rtl w:val="0"/>
        </w:rPr>
        <w:t xml:space="preserve">OpenClassrooms rend l’éducation accessible à tous, partout. OpenClassrooms est la plateforme d’éducation en ligne leader en Europe, dotée d’une communauté d’utilisateurs passionnée à travers le monde. Sa mission est de rendre l’éducation accessible à tous en dispensant plus de 30 formations professionnalisantes 100% en ligne sur les compétences d’avenir, menant à un titre certifié sur les métiers du futur. La plateforme révolutionne la pédagogie grâce à une approche éducative unique articulée autour du suivi personnalisé. Cette méthode approuvée apporte les compétences les plus recherchées sur le marché de l’emploi du futur à tous : développement web, UX design, data science, marketing digital, cybersécurité, également RH et Marketing.</w:t>
      </w:r>
    </w:p>
    <w:p w:rsidR="00000000" w:rsidDel="00000000" w:rsidP="00000000" w:rsidRDefault="00000000" w:rsidRPr="00000000" w14:paraId="0000001E">
      <w:pPr>
        <w:spacing w:line="240" w:lineRule="auto"/>
        <w:rPr>
          <w:sz w:val="18"/>
          <w:szCs w:val="18"/>
        </w:rPr>
      </w:pPr>
      <w:r w:rsidDel="00000000" w:rsidR="00000000" w:rsidRPr="00000000">
        <w:rPr>
          <w:sz w:val="18"/>
          <w:szCs w:val="18"/>
          <w:rtl w:val="0"/>
        </w:rPr>
        <w:t xml:space="preserve">Afin d’assurer la meilleure qualité, et le contenu pédagogique le plus pertinent, OpenClassrooms noue des partenariats clés avec des universités prestigieuses, des écoles d’ingénieurs, et des entreprises tech leader comme Google et IBM, afin de créer des parcours diplômants.</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tabs>
          <w:tab w:val="left" w:pos="2818"/>
        </w:tabs>
        <w:spacing w:line="240" w:lineRule="auto"/>
        <w:rPr>
          <w:i w:val="1"/>
          <w:color w:val="000000"/>
          <w:highlight w:val="white"/>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2552" w:top="1842" w:left="1418" w:right="1418"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rPr>
        <w:color w:val="000000"/>
        <w:sz w:val="2"/>
        <w:szCs w:val="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567" w:right="-567" w:firstLine="0"/>
      <w:rPr>
        <w:i w:val="1"/>
        <w:sz w:val="14"/>
        <w:szCs w:val="14"/>
      </w:rPr>
    </w:pPr>
    <w:r w:rsidDel="00000000" w:rsidR="00000000" w:rsidRPr="00000000">
      <w:rPr>
        <w:b w:val="1"/>
        <w:sz w:val="14"/>
        <w:szCs w:val="14"/>
        <w:rtl w:val="0"/>
      </w:rPr>
      <w:t xml:space="preserve">À propos de l’agence Insign</w:t>
    </w:r>
    <w:r w:rsidDel="00000000" w:rsidR="00000000" w:rsidRPr="00000000">
      <w:rPr>
        <w:sz w:val="14"/>
        <w:szCs w:val="14"/>
        <w:rtl w:val="0"/>
      </w:rPr>
      <w:t xml:space="preserve"> - Créée</w:t>
    </w:r>
    <w:r w:rsidDel="00000000" w:rsidR="00000000" w:rsidRPr="00000000">
      <w:rPr>
        <w:i w:val="1"/>
        <w:sz w:val="14"/>
        <w:szCs w:val="14"/>
        <w:rtl w:val="0"/>
      </w:rPr>
      <w:t xml:space="preserve"> en 2010, Insign est un agence indépendante dirigée par Lionel Cuny et basée à Paris, Lyon, Tournon-sur-Rhône, Dakar et Los Angeles. L'agence accompagne des grands groupes, ETI, Start-up et institutions dans leur stratégie de croissance et de visibilité. Véritables associés de leurs clients, les 250 creative partners d'Insign hybrident les disciplines du consulting, du marketing, du digital et de la communication pour accélérer la transformation et le développement de ses clients vers des modèles durables et profitables au plus grand nombre.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567" w:right="-567" w:firstLine="0"/>
      <w:jc w:val="left"/>
      <w:rPr>
        <w:i w:val="1"/>
        <w:sz w:val="14"/>
        <w:szCs w:val="14"/>
      </w:rPr>
    </w:pPr>
    <w:r w:rsidDel="00000000" w:rsidR="00000000" w:rsidRPr="00000000">
      <w:rPr>
        <w:i w:val="1"/>
        <w:sz w:val="14"/>
        <w:szCs w:val="14"/>
        <w:rtl w:val="0"/>
      </w:rPr>
      <w:t xml:space="preserve">Blédina,  Bioderma, Obut,  La Poste,  Bouygues Bâtiment, ADA, Armée de Terre, France TV, Institut Français, Biomérieux, SNCF, MHD Diageo, Casden, BNP personnal finance,  Fuell, Birdee, Ilek,  Laboratoires Roche France, PEFC, Orpéa, Cegid, C-discount, Carventura, Acadomia, Manutan,...</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567" w:right="-567" w:firstLine="0"/>
      <w:jc w:val="left"/>
      <w:rPr>
        <w:i w:val="1"/>
        <w:sz w:val="14"/>
        <w:szCs w:val="1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567" w:right="-567" w:firstLine="0"/>
      <w:rPr>
        <w:sz w:val="14"/>
        <w:szCs w:val="14"/>
        <w:highlight w:val="yellow"/>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567" w:right="-567" w:firstLine="0"/>
      <w:rPr>
        <w:color w:val="000000"/>
        <w:sz w:val="14"/>
        <w:szCs w:val="14"/>
      </w:rPr>
    </w:pPr>
    <w:r w:rsidDel="00000000" w:rsidR="00000000" w:rsidRPr="00000000">
      <w:rPr>
        <w:rtl w:val="0"/>
      </w:rPr>
    </w:r>
  </w:p>
  <w:tbl>
    <w:tblPr>
      <w:tblStyle w:val="Table1"/>
      <w:tblW w:w="10335.0" w:type="dxa"/>
      <w:jc w:val="left"/>
      <w:tblInd w:w="-552.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5550"/>
      <w:gridCol w:w="3225"/>
      <w:gridCol w:w="855"/>
      <w:gridCol w:w="705"/>
      <w:tblGridChange w:id="0">
        <w:tblGrid>
          <w:gridCol w:w="5550"/>
          <w:gridCol w:w="3225"/>
          <w:gridCol w:w="855"/>
          <w:gridCol w:w="705"/>
        </w:tblGrid>
      </w:tblGridChange>
    </w:tblGrid>
    <w:tr>
      <w:trPr>
        <w:cantSplit w:val="0"/>
        <w:trHeight w:val="189" w:hRule="atLeast"/>
        <w:tblHeader w:val="0"/>
      </w:trPr>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64" w:lineRule="auto"/>
            <w:jc w:val="left"/>
            <w:rPr>
              <w:color w:val="000000"/>
              <w:sz w:val="18"/>
              <w:szCs w:val="18"/>
            </w:rPr>
          </w:pPr>
          <w:r w:rsidDel="00000000" w:rsidR="00000000" w:rsidRPr="00000000">
            <w:rPr>
              <w:color w:val="000000"/>
              <w:sz w:val="18"/>
              <w:szCs w:val="18"/>
              <w:rtl w:val="0"/>
            </w:rPr>
            <w:t xml:space="preserve">CONTACT PRESSE :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64" w:lineRule="auto"/>
            <w:jc w:val="left"/>
            <w:rPr>
              <w:color w:val="000000"/>
              <w:sz w:val="15"/>
              <w:szCs w:val="15"/>
              <w:highlight w:val="yellow"/>
            </w:rPr>
          </w:pPr>
          <w:r w:rsidDel="00000000" w:rsidR="00000000" w:rsidRPr="00000000">
            <w:rPr>
              <w:b w:val="1"/>
              <w:sz w:val="18"/>
              <w:szCs w:val="18"/>
              <w:rtl w:val="0"/>
            </w:rPr>
            <w:t xml:space="preserve">Orlane François </w:t>
          </w:r>
          <w:r w:rsidDel="00000000" w:rsidR="00000000" w:rsidRPr="00000000">
            <w:rPr>
              <w:color w:val="000000"/>
              <w:sz w:val="18"/>
              <w:szCs w:val="18"/>
              <w:rtl w:val="0"/>
            </w:rPr>
            <w:t xml:space="preserve">06 </w:t>
          </w:r>
          <w:r w:rsidDel="00000000" w:rsidR="00000000" w:rsidRPr="00000000">
            <w:rPr>
              <w:sz w:val="18"/>
              <w:szCs w:val="18"/>
              <w:rtl w:val="0"/>
            </w:rPr>
            <w:t xml:space="preserve">58 41 95 52 </w:t>
          </w:r>
          <w:r w:rsidDel="00000000" w:rsidR="00000000" w:rsidRPr="00000000">
            <w:rPr>
              <w:color w:val="000000"/>
              <w:sz w:val="18"/>
              <w:szCs w:val="18"/>
              <w:rtl w:val="0"/>
            </w:rPr>
            <w:t xml:space="preserve"> - </w:t>
          </w:r>
          <w:r w:rsidDel="00000000" w:rsidR="00000000" w:rsidRPr="00000000">
            <w:rPr>
              <w:sz w:val="18"/>
              <w:szCs w:val="18"/>
              <w:rtl w:val="0"/>
            </w:rPr>
            <w:t xml:space="preserve">orlane.francois@insign.fr</w:t>
          </w:r>
          <w:r w:rsidDel="00000000" w:rsidR="00000000" w:rsidRPr="00000000">
            <w:rPr>
              <w:rtl w:val="0"/>
            </w:rPr>
          </w:r>
        </w:p>
      </w:tc>
      <w:tc>
        <w:tcP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64" w:lineRule="auto"/>
            <w:jc w:val="right"/>
            <w:rPr>
              <w:b w:val="1"/>
              <w:color w:val="000000"/>
            </w:rPr>
          </w:pPr>
          <w:r w:rsidDel="00000000" w:rsidR="00000000" w:rsidRPr="00000000">
            <w:rPr>
              <w:b w:val="1"/>
              <w:rtl w:val="0"/>
            </w:rPr>
            <w:t xml:space="preserve">insign.fr</w:t>
          </w:r>
          <w:r w:rsidDel="00000000" w:rsidR="00000000" w:rsidRPr="00000000">
            <w:rPr>
              <w:rtl w:val="0"/>
            </w:rPr>
          </w:r>
        </w:p>
      </w:tc>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64" w:lineRule="auto"/>
            <w:jc w:val="center"/>
            <w:rPr>
              <w:color w:val="000000"/>
            </w:rPr>
          </w:pPr>
          <w:hyperlink r:id="rId1">
            <w:r w:rsidDel="00000000" w:rsidR="00000000" w:rsidRPr="00000000">
              <w:rPr>
                <w:color w:val="1155cc"/>
                <w:u w:val="single"/>
              </w:rPr>
              <w:drawing>
                <wp:inline distB="0" distT="0" distL="0" distR="0">
                  <wp:extent cx="216052" cy="180000"/>
                  <wp:effectExtent b="0" l="0" r="0" t="0"/>
                  <wp:docPr id="19" name="image3.png"/>
                  <a:graphic>
                    <a:graphicData uri="http://schemas.openxmlformats.org/drawingml/2006/picture">
                      <pic:pic>
                        <pic:nvPicPr>
                          <pic:cNvPr id="0" name="image3.png"/>
                          <pic:cNvPicPr preferRelativeResize="0"/>
                        </pic:nvPicPr>
                        <pic:blipFill>
                          <a:blip r:embed="rId2"/>
                          <a:srcRect b="8262" l="0" r="0" t="8424"/>
                          <a:stretch>
                            <a:fillRect/>
                          </a:stretch>
                        </pic:blipFill>
                        <pic:spPr>
                          <a:xfrm>
                            <a:off x="0" y="0"/>
                            <a:ext cx="216052" cy="180000"/>
                          </a:xfrm>
                          <a:prstGeom prst="rect"/>
                          <a:ln/>
                        </pic:spPr>
                      </pic:pic>
                    </a:graphicData>
                  </a:graphic>
                </wp:inline>
              </w:drawing>
            </w:r>
          </w:hyperlink>
          <w:r w:rsidDel="00000000" w:rsidR="00000000" w:rsidRPr="00000000">
            <w:rPr>
              <w:rtl w:val="0"/>
            </w:rPr>
          </w:r>
        </w:p>
      </w:tc>
      <w:tc>
        <w:tcP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64" w:lineRule="auto"/>
            <w:jc w:val="center"/>
            <w:rPr>
              <w:color w:val="000000"/>
            </w:rPr>
          </w:pPr>
          <w:hyperlink r:id="rId3">
            <w:r w:rsidDel="00000000" w:rsidR="00000000" w:rsidRPr="00000000">
              <w:rPr>
                <w:color w:val="1155cc"/>
                <w:u w:val="single"/>
              </w:rPr>
              <w:drawing>
                <wp:inline distB="0" distT="0" distL="0" distR="0">
                  <wp:extent cx="216000" cy="216000"/>
                  <wp:effectExtent b="0" l="0" r="0" t="0"/>
                  <wp:docPr id="21"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216000" cy="2160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567" w:right="-567" w:firstLine="0"/>
      <w:jc w:val="left"/>
      <w:rPr>
        <w:i w:val="1"/>
        <w:sz w:val="14"/>
        <w:szCs w:val="14"/>
        <w:highlight w:val="yellow"/>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jc w:val="center"/>
      <w:rPr>
        <w:color w:val="000000"/>
        <w:sz w:val="14"/>
        <w:szCs w:val="14"/>
      </w:rPr>
    </w:pPr>
    <w:r w:rsidDel="00000000" w:rsidR="00000000" w:rsidRPr="00000000">
      <w:rPr>
        <w:color w:val="000000"/>
        <w:sz w:val="14"/>
        <w:szCs w:val="14"/>
        <w:rtl w:val="0"/>
      </w:rPr>
      <w:t xml:space="preserve">-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color w:val="000000"/>
        <w:sz w:val="14"/>
        <w:szCs w:val="14"/>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-723898</wp:posOffset>
          </wp:positionH>
          <wp:positionV relativeFrom="paragraph">
            <wp:posOffset>-80961</wp:posOffset>
          </wp:positionV>
          <wp:extent cx="4066858" cy="485775"/>
          <wp:effectExtent b="0" l="0" r="0" t="0"/>
          <wp:wrapSquare wrapText="bothSides" distB="114300" distT="114300" distL="114300" distR="114300"/>
          <wp:docPr id="20"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4066858" cy="48577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4762500</wp:posOffset>
              </wp:positionH>
              <wp:positionV relativeFrom="paragraph">
                <wp:posOffset>-203199</wp:posOffset>
              </wp:positionV>
              <wp:extent cx="1657667" cy="752794"/>
              <wp:effectExtent b="0" l="0" r="0" t="0"/>
              <wp:wrapSquare wrapText="bothSides" distB="0" distT="0" distL="0" distR="0"/>
              <wp:docPr id="17" name=""/>
              <a:graphic>
                <a:graphicData uri="http://schemas.microsoft.com/office/word/2010/wordprocessingGroup">
                  <wpg:wgp>
                    <wpg:cNvGrpSpPr/>
                    <wpg:grpSpPr>
                      <a:xfrm>
                        <a:off x="4517167" y="3403603"/>
                        <a:ext cx="1657667" cy="752794"/>
                        <a:chOff x="4517167" y="3403603"/>
                        <a:chExt cx="1657667" cy="752794"/>
                      </a:xfrm>
                    </wpg:grpSpPr>
                    <wpg:grpSp>
                      <wpg:cNvGrpSpPr/>
                      <wpg:grpSpPr>
                        <a:xfrm>
                          <a:off x="4517167" y="3403603"/>
                          <a:ext cx="1657667" cy="752794"/>
                          <a:chOff x="3919790" y="3133853"/>
                          <a:chExt cx="2852420" cy="1292294"/>
                        </a:xfrm>
                      </wpg:grpSpPr>
                      <wps:wsp>
                        <wps:cNvSpPr/>
                        <wps:cNvPr id="3" name="Shape 3"/>
                        <wps:spPr>
                          <a:xfrm>
                            <a:off x="3919790" y="3133853"/>
                            <a:ext cx="2852400" cy="1292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790" y="3133853"/>
                            <a:ext cx="2852420" cy="1292294"/>
                            <a:chOff x="3326238" y="1543200"/>
                            <a:chExt cx="4039525" cy="1823350"/>
                          </a:xfrm>
                        </wpg:grpSpPr>
                        <wps:wsp>
                          <wps:cNvSpPr/>
                          <wps:cNvPr id="9" name="Shape 9"/>
                          <wps:spPr>
                            <a:xfrm>
                              <a:off x="3326238" y="1543200"/>
                              <a:ext cx="4039525" cy="1823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0" name="Shape 10"/>
                            <pic:cNvPicPr preferRelativeResize="0"/>
                          </pic:nvPicPr>
                          <pic:blipFill rotWithShape="1">
                            <a:blip r:embed="rId2">
                              <a:alphaModFix/>
                            </a:blip>
                            <a:srcRect b="0" l="0" r="0" t="0"/>
                            <a:stretch/>
                          </pic:blipFill>
                          <pic:spPr>
                            <a:xfrm>
                              <a:off x="3326238" y="1543200"/>
                              <a:ext cx="4039525" cy="1823350"/>
                            </a:xfrm>
                            <a:prstGeom prst="rect">
                              <a:avLst/>
                            </a:prstGeom>
                            <a:noFill/>
                            <a:ln>
                              <a:noFill/>
                            </a:ln>
                          </pic:spPr>
                        </pic:pic>
                      </wpg:grpSp>
                    </wpg:grpSp>
                  </wpg:wgp>
                </a:graphicData>
              </a:graphic>
            </wp:anchor>
          </w:drawing>
        </mc:Choice>
        <mc:Fallback>
          <w:drawing>
            <wp:anchor allowOverlap="1" behindDoc="0" distB="0" distT="0" distL="0" distR="0" hidden="0" layoutInCell="1" locked="0" relativeHeight="0" simplePos="0">
              <wp:simplePos x="0" y="0"/>
              <wp:positionH relativeFrom="column">
                <wp:posOffset>4762500</wp:posOffset>
              </wp:positionH>
              <wp:positionV relativeFrom="paragraph">
                <wp:posOffset>-203199</wp:posOffset>
              </wp:positionV>
              <wp:extent cx="1657667" cy="752794"/>
              <wp:effectExtent b="0" l="0" r="0" t="0"/>
              <wp:wrapSquare wrapText="bothSides" distB="0" distT="0" distL="0" distR="0"/>
              <wp:docPr id="17"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657667" cy="752794"/>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4800600</wp:posOffset>
              </wp:positionH>
              <wp:positionV relativeFrom="paragraph">
                <wp:posOffset>-177799</wp:posOffset>
              </wp:positionV>
              <wp:extent cx="1657667" cy="752794"/>
              <wp:effectExtent b="0" l="0" r="0" t="0"/>
              <wp:wrapSquare wrapText="bothSides" distB="0" distT="0" distL="0" distR="0"/>
              <wp:docPr id="16" name=""/>
              <a:graphic>
                <a:graphicData uri="http://schemas.microsoft.com/office/word/2010/wordprocessingGroup">
                  <wpg:wgp>
                    <wpg:cNvGrpSpPr/>
                    <wpg:grpSpPr>
                      <a:xfrm>
                        <a:off x="4517167" y="3403603"/>
                        <a:ext cx="1657667" cy="752794"/>
                        <a:chOff x="4517167" y="3403603"/>
                        <a:chExt cx="1657667" cy="752794"/>
                      </a:xfrm>
                    </wpg:grpSpPr>
                    <wpg:grpSp>
                      <wpg:cNvGrpSpPr/>
                      <wpg:grpSpPr>
                        <a:xfrm>
                          <a:off x="4517167" y="3403603"/>
                          <a:ext cx="1657667" cy="752794"/>
                          <a:chOff x="3919790" y="3133853"/>
                          <a:chExt cx="2852420" cy="1292294"/>
                        </a:xfrm>
                      </wpg:grpSpPr>
                      <wps:wsp>
                        <wps:cNvSpPr/>
                        <wps:cNvPr id="3" name="Shape 3"/>
                        <wps:spPr>
                          <a:xfrm>
                            <a:off x="3919790" y="3133853"/>
                            <a:ext cx="2852400" cy="1292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790" y="3133853"/>
                            <a:ext cx="2852420" cy="1292294"/>
                            <a:chOff x="3326238" y="1543200"/>
                            <a:chExt cx="4039525" cy="1823350"/>
                          </a:xfrm>
                        </wpg:grpSpPr>
                        <wps:wsp>
                          <wps:cNvSpPr/>
                          <wps:cNvPr id="5" name="Shape 5"/>
                          <wps:spPr>
                            <a:xfrm>
                              <a:off x="3326238" y="1543200"/>
                              <a:ext cx="4039525" cy="1823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1">
                              <a:alphaModFix/>
                            </a:blip>
                            <a:srcRect b="0" l="0" r="0" t="0"/>
                            <a:stretch/>
                          </pic:blipFill>
                          <pic:spPr>
                            <a:xfrm>
                              <a:off x="3326238" y="1543200"/>
                              <a:ext cx="4039525" cy="1823350"/>
                            </a:xfrm>
                            <a:prstGeom prst="rect">
                              <a:avLst/>
                            </a:prstGeom>
                            <a:noFill/>
                            <a:ln>
                              <a:noFill/>
                            </a:ln>
                          </pic:spPr>
                        </pic:pic>
                      </wpg:grpSp>
                    </wpg:grpSp>
                  </wpg:wgp>
                </a:graphicData>
              </a:graphic>
            </wp:anchor>
          </w:drawing>
        </mc:Choice>
        <mc:Fallback>
          <w:drawing>
            <wp:anchor allowOverlap="1" behindDoc="0" distB="0" distT="0" distL="0" distR="0" hidden="0" layoutInCell="1" locked="0" relativeHeight="0" simplePos="0">
              <wp:simplePos x="0" y="0"/>
              <wp:positionH relativeFrom="column">
                <wp:posOffset>4800600</wp:posOffset>
              </wp:positionH>
              <wp:positionV relativeFrom="paragraph">
                <wp:posOffset>-177799</wp:posOffset>
              </wp:positionV>
              <wp:extent cx="1657667" cy="752794"/>
              <wp:effectExtent b="0" l="0" r="0" t="0"/>
              <wp:wrapSquare wrapText="bothSides" distB="0" distT="0" distL="0" distR="0"/>
              <wp:docPr id="16"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657667" cy="752794"/>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-571498</wp:posOffset>
          </wp:positionH>
          <wp:positionV relativeFrom="paragraph">
            <wp:posOffset>-50798</wp:posOffset>
          </wp:positionV>
          <wp:extent cx="4066858" cy="483990"/>
          <wp:effectExtent b="0" l="0" r="0" t="0"/>
          <wp:wrapSquare wrapText="bothSides" distB="114300" distT="114300" distL="114300" distR="114300"/>
          <wp:docPr id="18"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4066858" cy="4839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FR"/>
      </w:rPr>
    </w:rPrDefault>
    <w:pPrDefault>
      <w:pPr>
        <w:spacing w:line="288"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85.0" w:type="dxa"/>
        <w:left w:w="57.0" w:type="dxa"/>
        <w:bottom w:w="85.0" w:type="dxa"/>
        <w:right w:w="57.0" w:type="dxa"/>
      </w:tblCellMar>
    </w:tblPr>
  </w:style>
  <w:style w:type="table" w:styleId="a0" w:customStyle="1">
    <w:basedOn w:val="TableNormal1"/>
    <w:tblPr>
      <w:tblStyleRowBandSize w:val="1"/>
      <w:tblStyleColBandSize w:val="1"/>
      <w:tblCellMar>
        <w:top w:w="85.0" w:type="dxa"/>
        <w:left w:w="57.0" w:type="dxa"/>
        <w:bottom w:w="85.0" w:type="dxa"/>
        <w:right w:w="57.0" w:type="dxa"/>
      </w:tblCellMar>
    </w:tblPr>
  </w:style>
  <w:style w:type="paragraph" w:styleId="En-tte">
    <w:name w:val="header"/>
    <w:basedOn w:val="Normal"/>
    <w:link w:val="En-tteCar"/>
    <w:uiPriority w:val="99"/>
    <w:unhideWhenUsed w:val="1"/>
    <w:rsid w:val="000B2FCF"/>
    <w:pPr>
      <w:tabs>
        <w:tab w:val="center" w:pos="4536"/>
        <w:tab w:val="right" w:pos="9072"/>
      </w:tabs>
      <w:spacing w:line="240" w:lineRule="auto"/>
    </w:pPr>
  </w:style>
  <w:style w:type="character" w:styleId="En-tteCar" w:customStyle="1">
    <w:name w:val="En-tête Car"/>
    <w:basedOn w:val="Policepardfaut"/>
    <w:link w:val="En-tte"/>
    <w:uiPriority w:val="99"/>
    <w:rsid w:val="000B2FCF"/>
  </w:style>
  <w:style w:type="paragraph" w:styleId="Pieddepage">
    <w:name w:val="footer"/>
    <w:basedOn w:val="Normal"/>
    <w:link w:val="PieddepageCar"/>
    <w:uiPriority w:val="99"/>
    <w:unhideWhenUsed w:val="1"/>
    <w:rsid w:val="000B2FCF"/>
    <w:pPr>
      <w:tabs>
        <w:tab w:val="center" w:pos="4536"/>
        <w:tab w:val="right" w:pos="9072"/>
      </w:tabs>
      <w:spacing w:line="240" w:lineRule="auto"/>
    </w:pPr>
  </w:style>
  <w:style w:type="character" w:styleId="PieddepageCar" w:customStyle="1">
    <w:name w:val="Pied de page Car"/>
    <w:basedOn w:val="Policepardfaut"/>
    <w:link w:val="Pieddepage"/>
    <w:uiPriority w:val="99"/>
    <w:rsid w:val="000B2FCF"/>
  </w:style>
  <w:style w:type="paragraph" w:styleId="NormalWeb">
    <w:name w:val="Normal (Web)"/>
    <w:basedOn w:val="Normal"/>
    <w:uiPriority w:val="99"/>
    <w:unhideWhenUsed w:val="1"/>
    <w:rsid w:val="000B2FCF"/>
    <w:pPr>
      <w:spacing w:after="100" w:afterAutospacing="1" w:before="100" w:beforeAutospacing="1" w:line="240" w:lineRule="auto"/>
      <w:jc w:val="left"/>
    </w:pPr>
    <w:rPr>
      <w:rFonts w:ascii="Times New Roman" w:cs="Times New Roman" w:eastAsia="Times New Roman" w:hAnsi="Times New Roman"/>
      <w:sz w:val="24"/>
      <w:szCs w:val="24"/>
    </w:rPr>
  </w:style>
  <w:style w:type="character" w:styleId="Lienhypertexte">
    <w:name w:val="Hyperlink"/>
    <w:basedOn w:val="Policepardfaut"/>
    <w:uiPriority w:val="99"/>
    <w:unhideWhenUsed w:val="1"/>
    <w:rsid w:val="00AC4D7F"/>
    <w:rPr>
      <w:color w:val="0000ff"/>
      <w:u w:val="single"/>
    </w:rPr>
  </w:style>
  <w:style w:type="character" w:styleId="Mentionnonrsolue1" w:customStyle="1">
    <w:name w:val="Mention non résolue1"/>
    <w:basedOn w:val="Policepardfaut"/>
    <w:uiPriority w:val="99"/>
    <w:semiHidden w:val="1"/>
    <w:unhideWhenUsed w:val="1"/>
    <w:rsid w:val="00534492"/>
    <w:rPr>
      <w:color w:val="605e5c"/>
      <w:shd w:color="auto" w:fill="e1dfdd" w:val="clear"/>
    </w:rPr>
  </w:style>
  <w:style w:type="table" w:styleId="a1" w:customStyle="1">
    <w:basedOn w:val="TableNormal0"/>
    <w:tblPr>
      <w:tblStyleRowBandSize w:val="1"/>
      <w:tblStyleColBandSize w:val="1"/>
      <w:tblCellMar>
        <w:top w:w="85.0" w:type="dxa"/>
        <w:left w:w="57.0" w:type="dxa"/>
        <w:bottom w:w="85.0" w:type="dxa"/>
        <w:right w:w="57.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5.0" w:type="dxa"/>
        <w:left w:w="57.0" w:type="dxa"/>
        <w:bottom w:w="85.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HQLC09GnF9Y" TargetMode="Externa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Agence_Insign" TargetMode="External"/><Relationship Id="rId2" Type="http://schemas.openxmlformats.org/officeDocument/2006/relationships/image" Target="media/image3.png"/><Relationship Id="rId3" Type="http://schemas.openxmlformats.org/officeDocument/2006/relationships/hyperlink" Target="https://www.linkedin.com/company/5015307/admin/"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zTftRTNDohijOj6LDzeSLjMk3g==">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2021-09-22T13:35:00Z</dcterms:created>
</cp:coreProperties>
</file>