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8A64B" w14:textId="5F097114" w:rsidR="00771B98" w:rsidRDefault="00A302ED"/>
    <w:p w14:paraId="3503F040" w14:textId="77777777" w:rsidR="003C6E82" w:rsidRPr="0047533B" w:rsidRDefault="003C6E82" w:rsidP="003C6E82">
      <w:pPr>
        <w:pStyle w:val="Title"/>
        <w:rPr>
          <w:rFonts w:ascii="Avenir Next" w:hAnsi="Avenir Next"/>
          <w:sz w:val="48"/>
          <w:szCs w:val="48"/>
        </w:rPr>
      </w:pPr>
      <w:r w:rsidRPr="0047533B">
        <w:rPr>
          <w:rFonts w:ascii="Avenir Next" w:hAnsi="Avenir Next"/>
          <w:sz w:val="48"/>
          <w:szCs w:val="48"/>
        </w:rPr>
        <w:t>Calix / ETI Integration Partnership</w:t>
      </w:r>
    </w:p>
    <w:p w14:paraId="732498FE" w14:textId="77777777" w:rsidR="003C6E82" w:rsidRPr="00941EBE" w:rsidRDefault="003C6E82" w:rsidP="003C6E82">
      <w:pPr>
        <w:pStyle w:val="Heading1"/>
        <w:rPr>
          <w:rFonts w:ascii="Avenir Next" w:hAnsi="Avenir Next"/>
        </w:rPr>
      </w:pPr>
      <w:r w:rsidRPr="00941EBE">
        <w:rPr>
          <w:rFonts w:ascii="Avenir Next" w:hAnsi="Avenir Next"/>
        </w:rPr>
        <w:t>How to Accelerate Calix Revenue Edge and Intelligent Access Edge Systems Deployment</w:t>
      </w:r>
    </w:p>
    <w:p w14:paraId="7A5E04C8" w14:textId="77777777" w:rsidR="0047533B" w:rsidRDefault="0047533B" w:rsidP="003C6E82">
      <w:pPr>
        <w:rPr>
          <w:rFonts w:ascii="Avenir Next" w:hAnsi="Avenir Next"/>
        </w:rPr>
      </w:pPr>
    </w:p>
    <w:p w14:paraId="5E0E4EFE" w14:textId="4CBC999D" w:rsidR="003C6E82" w:rsidRPr="00941EBE" w:rsidRDefault="003C6E82" w:rsidP="003C6E82">
      <w:pPr>
        <w:rPr>
          <w:rFonts w:ascii="Avenir Next" w:hAnsi="Avenir Next"/>
        </w:rPr>
      </w:pPr>
      <w:r w:rsidRPr="00941EBE">
        <w:rPr>
          <w:rFonts w:ascii="Avenir Next" w:hAnsi="Avenir Next"/>
        </w:rPr>
        <w:t>Calix has partnered with ETI to help our joint customers turn up Calix equipment more rapidly using fewer people and, in less time, resulting in faster ROI, increased sales and higher customer satisfaction.  ETI’s Triad is a highly adaptable Operation Support System (OSS) platform that helps to reduce operating expense through automated fulfillment and service activation on all broadband networks.</w:t>
      </w:r>
    </w:p>
    <w:p w14:paraId="65F956E3" w14:textId="77777777" w:rsidR="003C6E82" w:rsidRPr="00941EBE" w:rsidRDefault="003C6E82" w:rsidP="003C6E82">
      <w:pPr>
        <w:rPr>
          <w:rFonts w:ascii="Avenir Next" w:hAnsi="Avenir Next"/>
        </w:rPr>
      </w:pPr>
      <w:r w:rsidRPr="00941EBE">
        <w:rPr>
          <w:rFonts w:ascii="Avenir Next" w:hAnsi="Avenir Next"/>
        </w:rPr>
        <w:t xml:space="preserve">With the most extensive arrays of out-of-the-box integrations, we are democratizing network device integration to help you rapidly stand-up new hardware and deploy new services to your subscribers. Click </w:t>
      </w:r>
      <w:hyperlink r:id="rId7" w:history="1">
        <w:r w:rsidRPr="00941EBE">
          <w:rPr>
            <w:rStyle w:val="Hyperlink"/>
            <w:rFonts w:ascii="Avenir Next" w:hAnsi="Avenir Next"/>
          </w:rPr>
          <w:t>here</w:t>
        </w:r>
      </w:hyperlink>
      <w:r w:rsidRPr="00941EBE">
        <w:rPr>
          <w:rFonts w:ascii="Avenir Next" w:hAnsi="Avenir Next"/>
        </w:rPr>
        <w:t xml:space="preserve"> for a complete list of our integration partners.</w:t>
      </w:r>
    </w:p>
    <w:p w14:paraId="52FD4A11" w14:textId="77777777" w:rsidR="0047533B" w:rsidRDefault="0047533B" w:rsidP="003C6E82">
      <w:pPr>
        <w:pStyle w:val="Heading2"/>
        <w:rPr>
          <w:rFonts w:ascii="Avenir Next" w:hAnsi="Avenir Next"/>
        </w:rPr>
      </w:pPr>
    </w:p>
    <w:p w14:paraId="298742E5" w14:textId="03EA6A51" w:rsidR="003C6E82" w:rsidRPr="00941EBE" w:rsidRDefault="003C6E82" w:rsidP="003C6E82">
      <w:pPr>
        <w:pStyle w:val="Heading2"/>
        <w:rPr>
          <w:rFonts w:ascii="Avenir Next" w:hAnsi="Avenir Next"/>
        </w:rPr>
      </w:pPr>
      <w:r w:rsidRPr="00941EBE">
        <w:rPr>
          <w:rFonts w:ascii="Avenir Next" w:hAnsi="Avenir Next"/>
        </w:rPr>
        <w:t xml:space="preserve">Calix Integration Supported by ETI </w:t>
      </w:r>
    </w:p>
    <w:p w14:paraId="1644FEE6" w14:textId="77777777" w:rsidR="0047533B" w:rsidRDefault="0047533B" w:rsidP="003C6E82">
      <w:pPr>
        <w:rPr>
          <w:rFonts w:ascii="Avenir Next" w:hAnsi="Avenir Next"/>
        </w:rPr>
      </w:pPr>
    </w:p>
    <w:p w14:paraId="451E0B68" w14:textId="5A0F4132" w:rsidR="003C6E82" w:rsidRPr="00941EBE" w:rsidRDefault="003C6E82" w:rsidP="003C6E82">
      <w:pPr>
        <w:rPr>
          <w:rFonts w:ascii="Avenir Next" w:hAnsi="Avenir Next"/>
        </w:rPr>
      </w:pPr>
      <w:r w:rsidRPr="00941EBE">
        <w:rPr>
          <w:rFonts w:ascii="Avenir Next" w:hAnsi="Avenir Next"/>
        </w:rPr>
        <w:t>ETI’s Calix integration fully automates flow-through service activation and fulfillment for DSL, Active Ethernet and GPON.  Current integrations are available for:</w:t>
      </w:r>
    </w:p>
    <w:p w14:paraId="2CA861CF" w14:textId="77777777" w:rsidR="003C6E82" w:rsidRPr="0047533B" w:rsidRDefault="003C6E82" w:rsidP="003C6E82">
      <w:pPr>
        <w:pStyle w:val="ListParagraph"/>
        <w:numPr>
          <w:ilvl w:val="0"/>
          <w:numId w:val="8"/>
        </w:numPr>
        <w:spacing w:after="160" w:line="259" w:lineRule="auto"/>
        <w:rPr>
          <w:rFonts w:ascii="Avenir Next" w:hAnsi="Avenir Next"/>
          <w:sz w:val="24"/>
          <w:szCs w:val="24"/>
        </w:rPr>
      </w:pPr>
      <w:proofErr w:type="spellStart"/>
      <w:r w:rsidRPr="0047533B">
        <w:rPr>
          <w:rFonts w:ascii="Avenir Next" w:hAnsi="Avenir Next"/>
          <w:sz w:val="24"/>
          <w:szCs w:val="24"/>
        </w:rPr>
        <w:t>SMx</w:t>
      </w:r>
      <w:proofErr w:type="spellEnd"/>
      <w:r w:rsidRPr="0047533B">
        <w:rPr>
          <w:rFonts w:ascii="Avenir Next" w:hAnsi="Avenir Next"/>
          <w:sz w:val="24"/>
          <w:szCs w:val="24"/>
        </w:rPr>
        <w:t xml:space="preserve"> for AXOS E7-2 Intelligent Modular System</w:t>
      </w:r>
    </w:p>
    <w:p w14:paraId="52BD118C" w14:textId="77777777" w:rsidR="003C6E82" w:rsidRPr="0047533B" w:rsidRDefault="003C6E82" w:rsidP="003C6E82">
      <w:pPr>
        <w:pStyle w:val="ListParagraph"/>
        <w:numPr>
          <w:ilvl w:val="0"/>
          <w:numId w:val="8"/>
        </w:numPr>
        <w:spacing w:after="160" w:line="259" w:lineRule="auto"/>
        <w:rPr>
          <w:rFonts w:ascii="Avenir Next" w:hAnsi="Avenir Next"/>
          <w:sz w:val="24"/>
          <w:szCs w:val="24"/>
        </w:rPr>
      </w:pPr>
      <w:r w:rsidRPr="0047533B">
        <w:rPr>
          <w:rFonts w:ascii="Avenir Next" w:hAnsi="Avenir Next"/>
          <w:sz w:val="24"/>
          <w:szCs w:val="24"/>
        </w:rPr>
        <w:t>CMS for AXOS E7-2 Intelligent Modular System fiber and DSL</w:t>
      </w:r>
    </w:p>
    <w:p w14:paraId="3A570F69" w14:textId="77777777" w:rsidR="003C6E82" w:rsidRPr="0047533B" w:rsidRDefault="003C6E82" w:rsidP="003C6E82">
      <w:pPr>
        <w:pStyle w:val="ListParagraph"/>
        <w:numPr>
          <w:ilvl w:val="0"/>
          <w:numId w:val="8"/>
        </w:numPr>
        <w:spacing w:after="160" w:line="259" w:lineRule="auto"/>
        <w:rPr>
          <w:rFonts w:ascii="Avenir Next" w:hAnsi="Avenir Next"/>
          <w:sz w:val="24"/>
          <w:szCs w:val="24"/>
        </w:rPr>
      </w:pPr>
      <w:r w:rsidRPr="0047533B">
        <w:rPr>
          <w:rFonts w:ascii="Avenir Next" w:hAnsi="Avenir Next"/>
          <w:sz w:val="24"/>
          <w:szCs w:val="24"/>
        </w:rPr>
        <w:t>CMS for C7 fiber and DSL</w:t>
      </w:r>
    </w:p>
    <w:p w14:paraId="38F70A09" w14:textId="77777777" w:rsidR="003C6E82" w:rsidRPr="0047533B" w:rsidRDefault="003C6E82" w:rsidP="003C6E82">
      <w:pPr>
        <w:pStyle w:val="ListParagraph"/>
        <w:numPr>
          <w:ilvl w:val="0"/>
          <w:numId w:val="8"/>
        </w:numPr>
        <w:spacing w:after="160" w:line="259" w:lineRule="auto"/>
        <w:rPr>
          <w:rFonts w:ascii="Avenir Next" w:hAnsi="Avenir Next"/>
          <w:sz w:val="24"/>
          <w:szCs w:val="24"/>
        </w:rPr>
      </w:pPr>
      <w:r w:rsidRPr="0047533B">
        <w:rPr>
          <w:rFonts w:ascii="Avenir Next" w:hAnsi="Avenir Next"/>
          <w:sz w:val="24"/>
          <w:szCs w:val="24"/>
        </w:rPr>
        <w:t>CMS for AXOS E5 Business Solutions E5 and E3 DSL</w:t>
      </w:r>
    </w:p>
    <w:p w14:paraId="7848BB68" w14:textId="77777777" w:rsidR="003C6E82" w:rsidRPr="0047533B" w:rsidRDefault="003C6E82" w:rsidP="003C6E82">
      <w:pPr>
        <w:pStyle w:val="ListParagraph"/>
        <w:numPr>
          <w:ilvl w:val="0"/>
          <w:numId w:val="8"/>
        </w:numPr>
        <w:spacing w:after="160" w:line="259" w:lineRule="auto"/>
        <w:rPr>
          <w:rFonts w:ascii="Avenir Next" w:hAnsi="Avenir Next"/>
          <w:sz w:val="24"/>
          <w:szCs w:val="24"/>
        </w:rPr>
      </w:pPr>
      <w:r w:rsidRPr="0047533B">
        <w:rPr>
          <w:rFonts w:ascii="Avenir Next" w:hAnsi="Avenir Next"/>
          <w:sz w:val="24"/>
          <w:szCs w:val="24"/>
        </w:rPr>
        <w:t>Legacy Calix Integrations:  Calix B-series for fiber, Active E and DSL and Calix F-series for fiber</w:t>
      </w:r>
    </w:p>
    <w:p w14:paraId="194A7135" w14:textId="77777777" w:rsidR="003C6E82" w:rsidRPr="00941EBE" w:rsidRDefault="003C6E82" w:rsidP="003C6E82">
      <w:pPr>
        <w:rPr>
          <w:rFonts w:ascii="Avenir Next" w:hAnsi="Avenir Next"/>
        </w:rPr>
      </w:pPr>
      <w:r w:rsidRPr="00941EBE">
        <w:rPr>
          <w:rFonts w:ascii="Avenir Next" w:hAnsi="Avenir Next"/>
        </w:rPr>
        <w:t xml:space="preserve">The advantages of automating service fulfillment are many.  However, the two main business drivers for automation are: </w:t>
      </w:r>
    </w:p>
    <w:p w14:paraId="57E5AB6F" w14:textId="77777777" w:rsidR="003C6E82" w:rsidRPr="0047533B" w:rsidRDefault="003C6E82" w:rsidP="003C6E82">
      <w:pPr>
        <w:pStyle w:val="ListParagraph"/>
        <w:numPr>
          <w:ilvl w:val="0"/>
          <w:numId w:val="7"/>
        </w:numPr>
        <w:spacing w:after="160" w:line="259" w:lineRule="auto"/>
        <w:rPr>
          <w:rFonts w:ascii="Avenir Next" w:hAnsi="Avenir Next"/>
          <w:sz w:val="24"/>
          <w:szCs w:val="24"/>
        </w:rPr>
      </w:pPr>
      <w:r w:rsidRPr="0047533B">
        <w:rPr>
          <w:rFonts w:ascii="Avenir Next" w:hAnsi="Avenir Next"/>
          <w:sz w:val="24"/>
          <w:szCs w:val="24"/>
        </w:rPr>
        <w:t xml:space="preserve">Speed to Market: ETI Accelerates the on-boarding and deployment of new Calix network and CPE devices. </w:t>
      </w:r>
    </w:p>
    <w:p w14:paraId="20EEAF79" w14:textId="77777777" w:rsidR="003C6E82" w:rsidRPr="0047533B" w:rsidRDefault="003C6E82" w:rsidP="003C6E82">
      <w:pPr>
        <w:pStyle w:val="ListParagraph"/>
        <w:numPr>
          <w:ilvl w:val="0"/>
          <w:numId w:val="7"/>
        </w:numPr>
        <w:spacing w:after="160" w:line="259" w:lineRule="auto"/>
        <w:rPr>
          <w:rFonts w:ascii="Avenir Next" w:hAnsi="Avenir Next"/>
          <w:sz w:val="24"/>
          <w:szCs w:val="24"/>
        </w:rPr>
      </w:pPr>
      <w:r w:rsidRPr="0047533B">
        <w:rPr>
          <w:rFonts w:ascii="Avenir Next" w:hAnsi="Avenir Next"/>
          <w:sz w:val="24"/>
          <w:szCs w:val="24"/>
        </w:rPr>
        <w:t>Reduce Integration Friction: ETI greatly improves speed-to-market and keeps the impact of the new solution on at a minimum on operations.</w:t>
      </w:r>
    </w:p>
    <w:p w14:paraId="7FCE68E1" w14:textId="77777777" w:rsidR="003C6E82" w:rsidRPr="0047533B" w:rsidRDefault="003C6E82" w:rsidP="003C6E82">
      <w:pPr>
        <w:pStyle w:val="ListParagraph"/>
        <w:numPr>
          <w:ilvl w:val="0"/>
          <w:numId w:val="7"/>
        </w:numPr>
        <w:spacing w:after="160" w:line="259" w:lineRule="auto"/>
        <w:rPr>
          <w:rFonts w:ascii="Avenir Next" w:hAnsi="Avenir Next"/>
          <w:sz w:val="24"/>
          <w:szCs w:val="24"/>
        </w:rPr>
      </w:pPr>
      <w:r w:rsidRPr="0047533B">
        <w:rPr>
          <w:rFonts w:ascii="Avenir Next" w:hAnsi="Avenir Next"/>
          <w:sz w:val="24"/>
          <w:szCs w:val="24"/>
        </w:rPr>
        <w:t xml:space="preserve">Calix clients can quickly adopt new technologies, standards or architectures (SDN and NFV), within their legacy technology domains. </w:t>
      </w:r>
    </w:p>
    <w:p w14:paraId="26340A89" w14:textId="77777777" w:rsidR="009E6DB5" w:rsidRDefault="009E6DB5" w:rsidP="003C6E82">
      <w:pPr>
        <w:pStyle w:val="ListParagraph"/>
        <w:numPr>
          <w:ilvl w:val="0"/>
          <w:numId w:val="7"/>
        </w:numPr>
        <w:spacing w:after="160" w:line="259" w:lineRule="auto"/>
        <w:rPr>
          <w:rFonts w:ascii="Avenir Next" w:hAnsi="Avenir Next"/>
          <w:sz w:val="24"/>
          <w:szCs w:val="24"/>
        </w:rPr>
      </w:pPr>
    </w:p>
    <w:p w14:paraId="2C9A7B39" w14:textId="033755E7" w:rsidR="003C6E82" w:rsidRPr="009E6DB5" w:rsidRDefault="003C6E82" w:rsidP="009E6DB5">
      <w:pPr>
        <w:pStyle w:val="ListParagraph"/>
        <w:numPr>
          <w:ilvl w:val="0"/>
          <w:numId w:val="7"/>
        </w:numPr>
        <w:spacing w:after="160" w:line="259" w:lineRule="auto"/>
        <w:rPr>
          <w:rFonts w:ascii="Avenir Next" w:hAnsi="Avenir Next"/>
          <w:sz w:val="24"/>
          <w:szCs w:val="24"/>
        </w:rPr>
      </w:pPr>
      <w:r w:rsidRPr="009E6DB5">
        <w:rPr>
          <w:rFonts w:ascii="Avenir Next" w:hAnsi="Avenir Next"/>
          <w:sz w:val="24"/>
          <w:szCs w:val="24"/>
        </w:rPr>
        <w:lastRenderedPageBreak/>
        <w:t>ETI’s agnostic approach to integration supports your entire service delivery stack through a single, inbound interface from billing. Service routers, voice switches, and video control platforms</w:t>
      </w:r>
      <w:r w:rsidRPr="009E6DB5">
        <w:rPr>
          <w:rFonts w:ascii="Avenir Next" w:hAnsi="Avenir Next"/>
        </w:rPr>
        <w:t>.</w:t>
      </w:r>
    </w:p>
    <w:p w14:paraId="3D75FA5F" w14:textId="77777777" w:rsidR="003C6E82" w:rsidRPr="0047533B" w:rsidRDefault="003C6E82" w:rsidP="003C6E82">
      <w:pPr>
        <w:pStyle w:val="ListParagraph"/>
        <w:numPr>
          <w:ilvl w:val="0"/>
          <w:numId w:val="7"/>
        </w:numPr>
        <w:spacing w:after="160" w:line="259" w:lineRule="auto"/>
        <w:rPr>
          <w:rFonts w:ascii="Avenir Next" w:hAnsi="Avenir Next"/>
          <w:sz w:val="24"/>
          <w:szCs w:val="24"/>
        </w:rPr>
      </w:pPr>
      <w:r w:rsidRPr="0047533B">
        <w:rPr>
          <w:rFonts w:ascii="Avenir Next" w:hAnsi="Avenir Next"/>
          <w:sz w:val="24"/>
          <w:szCs w:val="24"/>
        </w:rPr>
        <w:t>Zero Touch: Subscribers expect self-service / self-support; Service Providers seek to eliminate human interaction and achieve “Zero Touch”</w:t>
      </w:r>
    </w:p>
    <w:p w14:paraId="7212DEFB" w14:textId="77777777" w:rsidR="003C6E82" w:rsidRPr="0047533B" w:rsidRDefault="003C6E82" w:rsidP="003C6E82">
      <w:pPr>
        <w:pStyle w:val="ListParagraph"/>
        <w:numPr>
          <w:ilvl w:val="0"/>
          <w:numId w:val="7"/>
        </w:numPr>
        <w:spacing w:after="160" w:line="259" w:lineRule="auto"/>
        <w:rPr>
          <w:rFonts w:ascii="Avenir Next" w:hAnsi="Avenir Next"/>
          <w:sz w:val="24"/>
          <w:szCs w:val="24"/>
        </w:rPr>
      </w:pPr>
      <w:r w:rsidRPr="0047533B">
        <w:rPr>
          <w:rFonts w:ascii="Avenir Next" w:hAnsi="Avenir Next"/>
          <w:sz w:val="24"/>
          <w:szCs w:val="24"/>
        </w:rPr>
        <w:t>Decrease the operational expense associated with service fulfillment</w:t>
      </w:r>
    </w:p>
    <w:p w14:paraId="15B7BD9C" w14:textId="77777777" w:rsidR="0047533B" w:rsidRDefault="003C6E82" w:rsidP="0047533B">
      <w:pPr>
        <w:pStyle w:val="ListParagraph"/>
        <w:numPr>
          <w:ilvl w:val="0"/>
          <w:numId w:val="7"/>
        </w:numPr>
        <w:spacing w:after="160" w:line="259" w:lineRule="auto"/>
        <w:rPr>
          <w:rFonts w:ascii="Avenir Next" w:hAnsi="Avenir Next"/>
          <w:sz w:val="24"/>
          <w:szCs w:val="24"/>
        </w:rPr>
      </w:pPr>
      <w:r w:rsidRPr="0047533B">
        <w:rPr>
          <w:rFonts w:ascii="Avenir Next" w:hAnsi="Avenir Next"/>
          <w:sz w:val="24"/>
          <w:szCs w:val="24"/>
        </w:rPr>
        <w:t>Increase revenue by ensuring that the service fulfillment as executed on a Calix network is in lockstep with billing.</w:t>
      </w:r>
    </w:p>
    <w:p w14:paraId="20FBB948" w14:textId="4757FDFD" w:rsidR="003C6E82" w:rsidRPr="0047533B" w:rsidRDefault="003C6E82" w:rsidP="0047533B">
      <w:pPr>
        <w:pStyle w:val="ListParagraph"/>
        <w:numPr>
          <w:ilvl w:val="0"/>
          <w:numId w:val="7"/>
        </w:numPr>
        <w:spacing w:after="160" w:line="259" w:lineRule="auto"/>
        <w:rPr>
          <w:rFonts w:ascii="Avenir Next" w:hAnsi="Avenir Next"/>
          <w:sz w:val="24"/>
          <w:szCs w:val="24"/>
        </w:rPr>
      </w:pPr>
      <w:r w:rsidRPr="0047533B">
        <w:rPr>
          <w:rFonts w:ascii="Avenir Next" w:hAnsi="Avenir Next"/>
          <w:sz w:val="24"/>
          <w:szCs w:val="24"/>
        </w:rPr>
        <w:t>Enhances Calix Support Cloud: ETI enable real time data visualization, seamless provisioning, and network monitoring with Calix CSC.  Automate the initial push of data into CSC and the ongoing sync throughout the lifecycle of the end user (‘customer’)</w:t>
      </w:r>
    </w:p>
    <w:p w14:paraId="73FFCBE1" w14:textId="77777777" w:rsidR="003C6E82" w:rsidRPr="00941EBE" w:rsidRDefault="003C6E82" w:rsidP="003C6E82">
      <w:pPr>
        <w:rPr>
          <w:rFonts w:ascii="Avenir Next" w:hAnsi="Avenir Next"/>
        </w:rPr>
      </w:pPr>
      <w:r w:rsidRPr="00941EBE">
        <w:rPr>
          <w:rFonts w:ascii="Avenir Next" w:hAnsi="Avenir Next"/>
        </w:rPr>
        <w:t>Many service providers struggle with the demands and challenges of manual fulfillment processes: extended mean time between ordering and fulfillment, discrepancies between billing and provisioning, no deactivation for non-pay accounts, etc. With Triad OSS, most of these problems either go away or reduced. Moreover, it eases the future introduction of other Calix products at any time.</w:t>
      </w:r>
    </w:p>
    <w:p w14:paraId="00F22432" w14:textId="77777777" w:rsidR="009E6DB5" w:rsidRDefault="009E6DB5" w:rsidP="003C6E82">
      <w:pPr>
        <w:pStyle w:val="Heading2"/>
        <w:rPr>
          <w:rFonts w:ascii="Avenir Next" w:hAnsi="Avenir Next"/>
        </w:rPr>
      </w:pPr>
    </w:p>
    <w:p w14:paraId="373D76F1" w14:textId="1A607195" w:rsidR="003C6E82" w:rsidRPr="00941EBE" w:rsidRDefault="003C6E82" w:rsidP="003C6E82">
      <w:pPr>
        <w:pStyle w:val="Heading2"/>
        <w:rPr>
          <w:rFonts w:ascii="Avenir Next" w:hAnsi="Avenir Next"/>
        </w:rPr>
      </w:pPr>
      <w:r w:rsidRPr="00941EBE">
        <w:rPr>
          <w:rFonts w:ascii="Avenir Next" w:hAnsi="Avenir Next"/>
        </w:rPr>
        <w:t>Next-Generation Operation Support System (OSS): Intelligent Integration</w:t>
      </w:r>
    </w:p>
    <w:p w14:paraId="4CF832D5" w14:textId="77777777" w:rsidR="009E6DB5" w:rsidRDefault="009E6DB5" w:rsidP="003C6E82">
      <w:pPr>
        <w:rPr>
          <w:rFonts w:ascii="Avenir Next" w:hAnsi="Avenir Next"/>
        </w:rPr>
      </w:pPr>
    </w:p>
    <w:p w14:paraId="4C08CD4C" w14:textId="64633514" w:rsidR="003C6E82" w:rsidRPr="00941EBE" w:rsidRDefault="003C6E82" w:rsidP="003C6E82">
      <w:pPr>
        <w:rPr>
          <w:rFonts w:ascii="Avenir Next" w:hAnsi="Avenir Next"/>
        </w:rPr>
      </w:pPr>
      <w:r w:rsidRPr="00941EBE">
        <w:rPr>
          <w:rFonts w:ascii="Avenir Next" w:hAnsi="Avenir Next"/>
        </w:rPr>
        <w:t>ETI’s OSS platform shifts away from static peer-to-peer integrations that are rigid, complex and hard to maintain. Instead, we use an intelligent API-integration approach that auto-discovers entities and assets resulting in faster, robust, and self-healing integrations. This integration strategy increases agility, speed, and productivity – reducing maintenance cost and time to market.</w:t>
      </w:r>
    </w:p>
    <w:p w14:paraId="08B8BCF9" w14:textId="77777777" w:rsidR="003C6E82" w:rsidRPr="009E6DB5" w:rsidRDefault="003C6E82" w:rsidP="003C6E82">
      <w:pPr>
        <w:pStyle w:val="ListParagraph"/>
        <w:numPr>
          <w:ilvl w:val="0"/>
          <w:numId w:val="9"/>
        </w:numPr>
        <w:spacing w:after="160" w:line="259" w:lineRule="auto"/>
        <w:rPr>
          <w:rFonts w:ascii="Avenir Next" w:hAnsi="Avenir Next"/>
          <w:sz w:val="24"/>
          <w:szCs w:val="24"/>
        </w:rPr>
      </w:pPr>
      <w:r w:rsidRPr="009E6DB5">
        <w:rPr>
          <w:rFonts w:ascii="Avenir Next" w:hAnsi="Avenir Next"/>
          <w:sz w:val="24"/>
          <w:szCs w:val="24"/>
        </w:rPr>
        <w:t>Unified platform for provisioning broadband access networks</w:t>
      </w:r>
    </w:p>
    <w:p w14:paraId="32364033" w14:textId="77777777" w:rsidR="003C6E82" w:rsidRPr="009E6DB5" w:rsidRDefault="003C6E82" w:rsidP="003C6E82">
      <w:pPr>
        <w:pStyle w:val="ListParagraph"/>
        <w:numPr>
          <w:ilvl w:val="0"/>
          <w:numId w:val="9"/>
        </w:numPr>
        <w:spacing w:after="160" w:line="259" w:lineRule="auto"/>
        <w:rPr>
          <w:rFonts w:ascii="Avenir Next" w:hAnsi="Avenir Next"/>
          <w:sz w:val="24"/>
          <w:szCs w:val="24"/>
        </w:rPr>
      </w:pPr>
      <w:r w:rsidRPr="009E6DB5">
        <w:rPr>
          <w:rFonts w:ascii="Avenir Next" w:hAnsi="Avenir Next"/>
          <w:sz w:val="24"/>
          <w:szCs w:val="24"/>
        </w:rPr>
        <w:t>Automate orchestration to prevent service fall-out</w:t>
      </w:r>
    </w:p>
    <w:p w14:paraId="6649B0A7" w14:textId="77777777" w:rsidR="003C6E82" w:rsidRPr="009E6DB5" w:rsidRDefault="003C6E82" w:rsidP="003C6E82">
      <w:pPr>
        <w:pStyle w:val="ListParagraph"/>
        <w:numPr>
          <w:ilvl w:val="0"/>
          <w:numId w:val="9"/>
        </w:numPr>
        <w:spacing w:after="160" w:line="259" w:lineRule="auto"/>
        <w:rPr>
          <w:rFonts w:ascii="Avenir Next" w:hAnsi="Avenir Next"/>
          <w:sz w:val="24"/>
          <w:szCs w:val="24"/>
        </w:rPr>
      </w:pPr>
      <w:r w:rsidRPr="009E6DB5">
        <w:rPr>
          <w:rFonts w:ascii="Avenir Next" w:hAnsi="Avenir Next"/>
          <w:sz w:val="24"/>
          <w:szCs w:val="24"/>
        </w:rPr>
        <w:t>Intelligent API integration into any Operation Support System (OSS) or Business Support System (BSS) eco-system</w:t>
      </w:r>
    </w:p>
    <w:p w14:paraId="340AE57D" w14:textId="77777777" w:rsidR="003C6E82" w:rsidRPr="009E6DB5" w:rsidRDefault="003C6E82" w:rsidP="003C6E82">
      <w:pPr>
        <w:pStyle w:val="ListParagraph"/>
        <w:numPr>
          <w:ilvl w:val="0"/>
          <w:numId w:val="9"/>
        </w:numPr>
        <w:spacing w:after="160" w:line="259" w:lineRule="auto"/>
        <w:rPr>
          <w:rFonts w:ascii="Avenir Next" w:hAnsi="Avenir Next"/>
          <w:sz w:val="24"/>
          <w:szCs w:val="24"/>
        </w:rPr>
      </w:pPr>
      <w:r w:rsidRPr="009E6DB5">
        <w:rPr>
          <w:rFonts w:ascii="Avenir Next" w:hAnsi="Avenir Next"/>
          <w:sz w:val="24"/>
          <w:szCs w:val="24"/>
        </w:rPr>
        <w:t>Multi-vendor provisioning and service orchestration</w:t>
      </w:r>
    </w:p>
    <w:p w14:paraId="0844086D" w14:textId="77777777" w:rsidR="003C6E82" w:rsidRPr="00941EBE" w:rsidRDefault="003C6E82">
      <w:pPr>
        <w:rPr>
          <w:rFonts w:ascii="Avenir Next" w:hAnsi="Avenir Next"/>
        </w:rPr>
      </w:pPr>
    </w:p>
    <w:p w14:paraId="20C2B892" w14:textId="692F8F81" w:rsidR="007E0178" w:rsidRPr="00941EBE" w:rsidRDefault="007E0178">
      <w:pPr>
        <w:rPr>
          <w:rFonts w:ascii="Avenir Next" w:hAnsi="Avenir Next"/>
        </w:rPr>
      </w:pPr>
    </w:p>
    <w:p w14:paraId="60A1393A" w14:textId="77777777" w:rsidR="007E0178" w:rsidRPr="00941EBE" w:rsidRDefault="007E0178">
      <w:pPr>
        <w:rPr>
          <w:rFonts w:ascii="Avenir Next" w:hAnsi="Avenir Next"/>
        </w:rPr>
      </w:pPr>
    </w:p>
    <w:p w14:paraId="7FDCAFAC" w14:textId="0311227D" w:rsidR="00960A2F" w:rsidRPr="00941EBE" w:rsidRDefault="007E3663" w:rsidP="00960A2F">
      <w:pPr>
        <w:rPr>
          <w:rFonts w:ascii="Avenir Next" w:hAnsi="Avenir Next"/>
        </w:rPr>
      </w:pPr>
      <w:r w:rsidRPr="00941EBE">
        <w:rPr>
          <w:rFonts w:ascii="Avenir Next" w:hAnsi="Avenir Next"/>
          <w:color w:val="006FAC"/>
          <w:sz w:val="32"/>
          <w:szCs w:val="32"/>
        </w:rPr>
        <w:t xml:space="preserve">   </w:t>
      </w:r>
    </w:p>
    <w:p w14:paraId="064800C3" w14:textId="77777777" w:rsidR="00960A2F" w:rsidRPr="00941EBE" w:rsidRDefault="00960A2F">
      <w:pPr>
        <w:rPr>
          <w:rFonts w:ascii="Avenir Next" w:hAnsi="Avenir Next"/>
        </w:rPr>
      </w:pPr>
    </w:p>
    <w:sectPr w:rsidR="00960A2F" w:rsidRPr="00941EBE" w:rsidSect="00A557B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9ECDF" w14:textId="77777777" w:rsidR="00A302ED" w:rsidRDefault="00A302ED" w:rsidP="00A557B4">
      <w:r>
        <w:separator/>
      </w:r>
    </w:p>
  </w:endnote>
  <w:endnote w:type="continuationSeparator" w:id="0">
    <w:p w14:paraId="67E55035" w14:textId="77777777" w:rsidR="00A302ED" w:rsidRDefault="00A302ED" w:rsidP="00A5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99C4" w14:textId="7F7E4681" w:rsidR="00993F45" w:rsidRPr="00993F45" w:rsidRDefault="00993F45" w:rsidP="00993F45">
    <w:pPr>
      <w:pStyle w:val="Footer"/>
      <w:jc w:val="center"/>
      <w:rPr>
        <w:rFonts w:ascii="Arial" w:hAnsi="Arial" w:cs="Times New Roman (Body CS)"/>
        <w:sz w:val="21"/>
        <w:szCs w:val="21"/>
      </w:rPr>
    </w:pPr>
    <w:r w:rsidRPr="00993F45">
      <w:rPr>
        <w:rFonts w:ascii="Arial" w:hAnsi="Arial" w:cs="Times New Roman (Body CS)"/>
        <w:sz w:val="21"/>
        <w:szCs w:val="21"/>
      </w:rPr>
      <w:t>www.etisoftware.com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B8083" w14:textId="77777777" w:rsidR="00A302ED" w:rsidRDefault="00A302ED" w:rsidP="00A557B4">
      <w:r>
        <w:separator/>
      </w:r>
    </w:p>
  </w:footnote>
  <w:footnote w:type="continuationSeparator" w:id="0">
    <w:p w14:paraId="42C3B9C2" w14:textId="77777777" w:rsidR="00A302ED" w:rsidRDefault="00A302ED" w:rsidP="00A5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3A22" w14:textId="77777777" w:rsidR="00A557B4" w:rsidRDefault="00A302ED">
    <w:pPr>
      <w:pStyle w:val="Header"/>
    </w:pPr>
    <w:r>
      <w:rPr>
        <w:noProof/>
      </w:rPr>
      <w:pict w14:anchorId="002C7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Word doc Template/ETIwordTemplate0917p2.png"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ETIwordTemplate0917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6781" w14:textId="20D42AF9" w:rsidR="00A557B4" w:rsidRDefault="00A80C97" w:rsidP="00224970">
    <w:pPr>
      <w:pStyle w:val="Header"/>
      <w:ind w:left="-630"/>
    </w:pPr>
    <w:r>
      <w:rPr>
        <w:noProof/>
      </w:rPr>
      <w:drawing>
        <wp:inline distT="0" distB="0" distL="0" distR="0" wp14:anchorId="06816661" wp14:editId="1299EAF8">
          <wp:extent cx="1366061" cy="512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88526" cy="5581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1C6B" w14:textId="77777777" w:rsidR="00A557B4" w:rsidRDefault="00A302ED">
    <w:pPr>
      <w:pStyle w:val="Header"/>
    </w:pPr>
    <w:r>
      <w:rPr>
        <w:noProof/>
      </w:rPr>
      <w:pict w14:anchorId="5C497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ord doc Template/ETIwordTemplate0917p2.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ETIwordTemplate0917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399"/>
    <w:multiLevelType w:val="hybridMultilevel"/>
    <w:tmpl w:val="3170F7D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4626383"/>
    <w:multiLevelType w:val="hybridMultilevel"/>
    <w:tmpl w:val="A76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05F5"/>
    <w:multiLevelType w:val="hybridMultilevel"/>
    <w:tmpl w:val="AF98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5C7A"/>
    <w:multiLevelType w:val="hybridMultilevel"/>
    <w:tmpl w:val="1D90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D40B0"/>
    <w:multiLevelType w:val="hybridMultilevel"/>
    <w:tmpl w:val="BE94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76987"/>
    <w:multiLevelType w:val="hybridMultilevel"/>
    <w:tmpl w:val="BD1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5EE"/>
    <w:multiLevelType w:val="hybridMultilevel"/>
    <w:tmpl w:val="0154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579FA"/>
    <w:multiLevelType w:val="hybridMultilevel"/>
    <w:tmpl w:val="8A1C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B57C9"/>
    <w:multiLevelType w:val="hybridMultilevel"/>
    <w:tmpl w:val="FF8095D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8"/>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B4"/>
    <w:rsid w:val="00153A36"/>
    <w:rsid w:val="001D0213"/>
    <w:rsid w:val="00224970"/>
    <w:rsid w:val="002402D3"/>
    <w:rsid w:val="00262DB7"/>
    <w:rsid w:val="002B26E6"/>
    <w:rsid w:val="00390DA9"/>
    <w:rsid w:val="003C6E82"/>
    <w:rsid w:val="0047533B"/>
    <w:rsid w:val="005641E3"/>
    <w:rsid w:val="006B60F8"/>
    <w:rsid w:val="006E25BC"/>
    <w:rsid w:val="007B08F3"/>
    <w:rsid w:val="007E0178"/>
    <w:rsid w:val="007E3663"/>
    <w:rsid w:val="008970CA"/>
    <w:rsid w:val="008A01B8"/>
    <w:rsid w:val="00941EBE"/>
    <w:rsid w:val="00960A2F"/>
    <w:rsid w:val="00993F45"/>
    <w:rsid w:val="009A4690"/>
    <w:rsid w:val="009E6DB5"/>
    <w:rsid w:val="009F0D24"/>
    <w:rsid w:val="00A302ED"/>
    <w:rsid w:val="00A557B4"/>
    <w:rsid w:val="00A6463D"/>
    <w:rsid w:val="00A80C97"/>
    <w:rsid w:val="00B504B5"/>
    <w:rsid w:val="00C62A33"/>
    <w:rsid w:val="00F4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4084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E8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6E8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B4"/>
    <w:pPr>
      <w:tabs>
        <w:tab w:val="center" w:pos="4680"/>
        <w:tab w:val="right" w:pos="9360"/>
      </w:tabs>
    </w:pPr>
  </w:style>
  <w:style w:type="character" w:customStyle="1" w:styleId="HeaderChar">
    <w:name w:val="Header Char"/>
    <w:basedOn w:val="DefaultParagraphFont"/>
    <w:link w:val="Header"/>
    <w:uiPriority w:val="99"/>
    <w:rsid w:val="00A557B4"/>
  </w:style>
  <w:style w:type="paragraph" w:styleId="Footer">
    <w:name w:val="footer"/>
    <w:basedOn w:val="Normal"/>
    <w:link w:val="FooterChar"/>
    <w:uiPriority w:val="99"/>
    <w:unhideWhenUsed/>
    <w:rsid w:val="00A557B4"/>
    <w:pPr>
      <w:tabs>
        <w:tab w:val="center" w:pos="4680"/>
        <w:tab w:val="right" w:pos="9360"/>
      </w:tabs>
    </w:pPr>
  </w:style>
  <w:style w:type="character" w:customStyle="1" w:styleId="FooterChar">
    <w:name w:val="Footer Char"/>
    <w:basedOn w:val="DefaultParagraphFont"/>
    <w:link w:val="Footer"/>
    <w:uiPriority w:val="99"/>
    <w:rsid w:val="00A557B4"/>
  </w:style>
  <w:style w:type="paragraph" w:styleId="ListParagraph">
    <w:name w:val="List Paragraph"/>
    <w:basedOn w:val="Normal"/>
    <w:uiPriority w:val="34"/>
    <w:qFormat/>
    <w:rsid w:val="005641E3"/>
    <w:pPr>
      <w:ind w:left="720"/>
      <w:contextualSpacing/>
    </w:pPr>
    <w:rPr>
      <w:sz w:val="15"/>
      <w:szCs w:val="20"/>
    </w:rPr>
  </w:style>
  <w:style w:type="paragraph" w:styleId="Title">
    <w:name w:val="Title"/>
    <w:basedOn w:val="Normal"/>
    <w:next w:val="Normal"/>
    <w:link w:val="TitleChar"/>
    <w:uiPriority w:val="10"/>
    <w:qFormat/>
    <w:rsid w:val="009A46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6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A4690"/>
    <w:rPr>
      <w:color w:val="0563C1" w:themeColor="hyperlink"/>
      <w:u w:val="single"/>
    </w:rPr>
  </w:style>
  <w:style w:type="character" w:customStyle="1" w:styleId="Heading1Char">
    <w:name w:val="Heading 1 Char"/>
    <w:basedOn w:val="DefaultParagraphFont"/>
    <w:link w:val="Heading1"/>
    <w:uiPriority w:val="9"/>
    <w:rsid w:val="003C6E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6E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isoftware.com/access-data-netwo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Bielamowicz</dc:creator>
  <cp:keywords/>
  <dc:description/>
  <cp:lastModifiedBy>Mary Beth Henderson</cp:lastModifiedBy>
  <cp:revision>3</cp:revision>
  <dcterms:created xsi:type="dcterms:W3CDTF">2021-10-06T21:36:00Z</dcterms:created>
  <dcterms:modified xsi:type="dcterms:W3CDTF">2021-10-11T18:10:00Z</dcterms:modified>
</cp:coreProperties>
</file>